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bCs/>
          <w:color w:val="0000FF"/>
          <w:sz w:val="28"/>
          <w:lang w:eastAsia="es-CO"/>
        </w:rPr>
        <w:t>DECRETO N° 3033</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color w:val="0000FF"/>
          <w:sz w:val="28"/>
          <w:lang w:eastAsia="es-CO"/>
        </w:rPr>
        <w:t>27-12-2013</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iCs/>
          <w:color w:val="0000FF"/>
          <w:sz w:val="28"/>
          <w:lang w:eastAsia="es-CO"/>
        </w:rPr>
        <w:t>MINISTERIO DE HACIENDA Y CRÉDITO PÚBLICO</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i/>
          <w:iCs/>
          <w:color w:val="0000FF"/>
          <w:szCs w:val="24"/>
          <w:lang w:eastAsia="es-CO"/>
        </w:rPr>
        <w:t> </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i/>
          <w:iCs/>
          <w:color w:val="0000FF"/>
          <w:szCs w:val="24"/>
          <w:lang w:eastAsia="es-CO"/>
        </w:rPr>
        <w:t> </w:t>
      </w:r>
    </w:p>
    <w:p w:rsidR="001164EB" w:rsidRPr="001164EB" w:rsidRDefault="001164EB" w:rsidP="001164EB">
      <w:pPr>
        <w:adjustRightInd w:val="0"/>
        <w:spacing w:line="240" w:lineRule="auto"/>
        <w:jc w:val="center"/>
        <w:rPr>
          <w:rFonts w:eastAsia="Times New Roman"/>
          <w:szCs w:val="24"/>
          <w:lang w:eastAsia="es-CO"/>
        </w:rPr>
      </w:pPr>
      <w:proofErr w:type="gramStart"/>
      <w:r w:rsidRPr="001164EB">
        <w:rPr>
          <w:rFonts w:ascii="Segoe UI" w:eastAsia="Times New Roman" w:hAnsi="Segoe UI" w:cs="Segoe UI"/>
          <w:i/>
          <w:iCs/>
          <w:szCs w:val="24"/>
          <w:lang w:eastAsia="es-CO"/>
        </w:rPr>
        <w:t>por</w:t>
      </w:r>
      <w:proofErr w:type="gramEnd"/>
      <w:r w:rsidRPr="001164EB">
        <w:rPr>
          <w:rFonts w:ascii="Segoe UI" w:eastAsia="Times New Roman" w:hAnsi="Segoe UI" w:cs="Segoe UI"/>
          <w:i/>
          <w:iCs/>
          <w:szCs w:val="24"/>
          <w:lang w:eastAsia="es-CO"/>
        </w:rPr>
        <w:t xml:space="preserve"> el cual se reglamentan los artículos 178 y 179 de la Ley 1607 de 2012 y se dictan otras disposiciones.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El Presidente de la República de Colombia, en ejercicio de sus facultades constitucionales y legales, en especial de las conferidas en el numeral 11 del artículo 189 de la Constitución Política, y</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szCs w:val="24"/>
          <w:lang w:eastAsia="es-CO"/>
        </w:rPr>
        <w:t>CONSIDERANDO:</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Que el artículo 178 de la Ley 1607 de 2012, estableció que la Unidad Administrativa Especial de Gestión Pensional y Contribuciones Parafiscales de la Protección Social (UGPP), es la entidad competente para adelantar las acciones de determinación y cobro de las Contribuciones Parafiscales de la Protección Social en los casos de omisión, inexactitud y mora, esta última por acción preferente, con el fin de que las administradoras continúen adelantando acciones para lograr el cumplimiento en el pago de las obligaciones a cargo de sus aportantes;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Que el artículo 113 de la Ley 6ª de 1992 estableció que </w:t>
      </w:r>
      <w:r w:rsidRPr="001164EB">
        <w:rPr>
          <w:rFonts w:ascii="Segoe UI" w:eastAsia="Times New Roman" w:hAnsi="Segoe UI" w:cs="Segoe UI"/>
          <w:i/>
          <w:iCs/>
          <w:szCs w:val="24"/>
          <w:lang w:eastAsia="es-CO"/>
        </w:rPr>
        <w:t>“los procesos de fiscalización y cobro sobre el cumplimiento correcto y oportuno de los apodes al Servicio Nacional de Aprendizaje (SENA), al Instituto de Seguros Sociales (ISS), al Instituto Colombiano de Bienestar Familiar (ICBF), y a las Cajas de Compensación Familiar, deberán ser adelantados por cada una de estas entidades”;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Que el artículo 99 de la Ley 633 de 2000, establece que </w:t>
      </w:r>
      <w:r w:rsidRPr="001164EB">
        <w:rPr>
          <w:rFonts w:ascii="Segoe UI" w:eastAsia="Times New Roman" w:hAnsi="Segoe UI" w:cs="Segoe UI"/>
          <w:i/>
          <w:iCs/>
          <w:szCs w:val="24"/>
          <w:lang w:eastAsia="es-CO"/>
        </w:rPr>
        <w:t>“las entidades administradoras del Sistema de Seguridad Social Integral son responsables de ejercer las tareas de control a la adecuada, completa y oportuna liquidación y pago de los aportes que financian dicho Sistema y están facultadas para verificar la exactitud y consistencia de la información contenida en las declaraciones de autoliquidación de aportes; para lo cual podrán solicitar de los aportantes, afiliados o beneficiarios las explicaciones sobre las inconsistencias en la información relativa a sus aportes a los distintos riesgos que hayan sido detectadas por parte de estas entidades”;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Que dados los anteriores considerandos, es necesario reglamentar algunos aspectos en materia de determinación y cobro de las Contribuciones Parafiscales de la Protección Social de la Unidad Administrativa Especial de Gestión Pensional y Contribuciones Parafiscales de la Protección Social (UGPP), el SENA, ICBF, ISS hoy </w:t>
      </w:r>
      <w:proofErr w:type="spellStart"/>
      <w:r w:rsidRPr="001164EB">
        <w:rPr>
          <w:rFonts w:ascii="Segoe UI" w:eastAsia="Times New Roman" w:hAnsi="Segoe UI" w:cs="Segoe UI"/>
          <w:szCs w:val="24"/>
          <w:lang w:eastAsia="es-CO"/>
        </w:rPr>
        <w:t>Colpensiones</w:t>
      </w:r>
      <w:proofErr w:type="spellEnd"/>
      <w:r w:rsidRPr="001164EB">
        <w:rPr>
          <w:rFonts w:ascii="Segoe UI" w:eastAsia="Times New Roman" w:hAnsi="Segoe UI" w:cs="Segoe UI"/>
          <w:szCs w:val="24"/>
          <w:lang w:eastAsia="es-CO"/>
        </w:rPr>
        <w:t>, Cajas de Compensación Familiar y demás administradoras del Sistema de Seguridad Social Integral;</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Que de acuerdo con el parágrafo 2° del artículo 178 de la Ley 1607 de 2012, el término de caducidad administrativa para las acciones de determinación y cobro a cargo de la Unidad Administrativa Especial de Gestión Pensional y Contribuciones Parafiscales de la Protección Social (UGPP), es de </w:t>
      </w:r>
      <w:r w:rsidRPr="001164EB">
        <w:rPr>
          <w:rFonts w:ascii="Segoe UI" w:eastAsia="Times New Roman" w:hAnsi="Segoe UI" w:cs="Segoe UI"/>
          <w:i/>
          <w:iCs/>
          <w:szCs w:val="24"/>
          <w:lang w:eastAsia="es-CO"/>
        </w:rPr>
        <w:t xml:space="preserve">“[...] cinco años contados a partir </w:t>
      </w:r>
      <w:r w:rsidRPr="001164EB">
        <w:rPr>
          <w:rFonts w:ascii="Segoe UI" w:eastAsia="Times New Roman" w:hAnsi="Segoe UI" w:cs="Segoe UI"/>
          <w:i/>
          <w:iCs/>
          <w:szCs w:val="24"/>
          <w:lang w:eastAsia="es-CO"/>
        </w:rPr>
        <w:lastRenderedPageBreak/>
        <w:t>de la fecha en que el aportante debió declarar y no declaró, declaró por valores inferiores a los legalmente establecidos o se configuró el hecho sancionable”</w:t>
      </w:r>
      <w:r w:rsidRPr="001164EB">
        <w:rPr>
          <w:rFonts w:ascii="Segoe UI" w:eastAsia="Times New Roman" w:hAnsi="Segoe UI" w:cs="Segoe UI"/>
          <w:szCs w:val="24"/>
          <w:lang w:eastAsia="es-CO"/>
        </w:rPr>
        <w:t>. No obstante, señala la misma ley que si el aportante presentó la declaración de manera extemporánea o corrigió la declaración inicialmente presentada, el término de caducidad se contará desde el momento en que presentaron o corrigieron dichas declaraciones;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Que se requiere reglamentar algunos aspectos relativos a la determinación de factores inherentes para la aplicación de las sanciones de que trata el artículo 179 de la Ley 1607 de 2012 tales como el número de empleados para la imposición de la sanción por omisión en la afiliación o en la vinculación y la liquidación y cobro de la sanción por no suministro de información;</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Que el numeral 15 del literal B del artículo 1° del Decreto-ley 169 de 2008, facultó a la Unidad Administrativa Especial de Gestión Pensional y Contribuciones Parafiscales de la Protección Social (UGPP) para afiliar a los evasores omisos que no hayan atendido la instrucción de afiliarse voluntariamente;</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Que se requiere establecer la destinación de los recursos recaudados a través de la Planilla Integrada de Liquidación de Aportes (PILA), así como la forma de pago cuando las acciones de determinación y cobro sean adelantadas sobre omisos del Sistema de la Protección Social;</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Que en mérito de lo expuesto,</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jc w:val="center"/>
        <w:rPr>
          <w:rFonts w:eastAsia="Times New Roman"/>
          <w:szCs w:val="24"/>
          <w:lang w:eastAsia="es-CO"/>
        </w:rPr>
      </w:pPr>
      <w:r w:rsidRPr="001164EB">
        <w:rPr>
          <w:rFonts w:ascii="Segoe UI" w:eastAsia="Times New Roman" w:hAnsi="Segoe UI" w:cs="Segoe UI"/>
          <w:b/>
          <w:szCs w:val="24"/>
          <w:lang w:eastAsia="es-CO"/>
        </w:rPr>
        <w:t>DECRETA:</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Artículo 1°.</w:t>
      </w:r>
      <w:r w:rsidRPr="001164EB">
        <w:rPr>
          <w:rFonts w:ascii="Segoe UI" w:eastAsia="Times New Roman" w:hAnsi="Segoe UI" w:cs="Segoe UI"/>
          <w:szCs w:val="24"/>
          <w:lang w:eastAsia="es-CO"/>
        </w:rPr>
        <w:t xml:space="preserve"> </w:t>
      </w:r>
      <w:r w:rsidRPr="001164EB">
        <w:rPr>
          <w:rFonts w:ascii="Segoe UI" w:eastAsia="Times New Roman" w:hAnsi="Segoe UI" w:cs="Segoe UI"/>
          <w:i/>
          <w:iCs/>
          <w:szCs w:val="24"/>
          <w:lang w:eastAsia="es-CO"/>
        </w:rPr>
        <w:t>Definiciones</w:t>
      </w:r>
      <w:r w:rsidRPr="001164EB">
        <w:rPr>
          <w:rFonts w:ascii="Segoe UI" w:eastAsia="Times New Roman" w:hAnsi="Segoe UI" w:cs="Segoe UI"/>
          <w:szCs w:val="24"/>
          <w:lang w:eastAsia="es-CO"/>
        </w:rPr>
        <w:t>. Las expresiones contenidas en este decreto tendrán los siguientes alcances: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1. </w:t>
      </w:r>
      <w:r w:rsidRPr="001164EB">
        <w:rPr>
          <w:rFonts w:ascii="Segoe UI" w:eastAsia="Times New Roman" w:hAnsi="Segoe UI" w:cs="Segoe UI"/>
          <w:b/>
          <w:bCs/>
          <w:szCs w:val="24"/>
          <w:lang w:eastAsia="es-CO"/>
        </w:rPr>
        <w:t xml:space="preserve">Contribuciones Parafiscales del Sistema de la Protección Social: </w:t>
      </w:r>
      <w:r w:rsidRPr="001164EB">
        <w:rPr>
          <w:rFonts w:ascii="Segoe UI" w:eastAsia="Times New Roman" w:hAnsi="Segoe UI" w:cs="Segoe UI"/>
          <w:szCs w:val="24"/>
          <w:lang w:eastAsia="es-CO"/>
        </w:rPr>
        <w:t>Se refieren a los aportes con destino al Sistema de Seguridad Social Integral conformado por el Sistema General de Seguridad Social en Salud, Pensiones y Riesgos Laborales, y a los establecidos con destino al Servicio Nacional de Aprendizaje (SENA), al Instituto Colombiano de Bienestar Familiar (ICBF) y al Régimen de Subsidio Familiar.</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bookmarkStart w:id="0" w:name="_GoBack"/>
      <w:bookmarkEnd w:id="0"/>
      <w:r w:rsidRPr="001164EB">
        <w:rPr>
          <w:rFonts w:ascii="Segoe UI" w:eastAsia="Times New Roman" w:hAnsi="Segoe UI" w:cs="Segoe UI"/>
          <w:szCs w:val="24"/>
          <w:lang w:eastAsia="es-CO"/>
        </w:rPr>
        <w:t xml:space="preserve">2. </w:t>
      </w:r>
      <w:r w:rsidRPr="001164EB">
        <w:rPr>
          <w:rFonts w:ascii="Segoe UI" w:eastAsia="Times New Roman" w:hAnsi="Segoe UI" w:cs="Segoe UI"/>
          <w:b/>
          <w:bCs/>
          <w:szCs w:val="24"/>
          <w:lang w:eastAsia="es-CO"/>
        </w:rPr>
        <w:t xml:space="preserve">Administradora: </w:t>
      </w:r>
      <w:r w:rsidRPr="001164EB">
        <w:rPr>
          <w:rFonts w:ascii="Segoe UI" w:eastAsia="Times New Roman" w:hAnsi="Segoe UI" w:cs="Segoe UI"/>
          <w:szCs w:val="24"/>
          <w:lang w:eastAsia="es-CO"/>
        </w:rPr>
        <w:t>Comprende a las entidades administradoras de pensiones del régimen solidario de prima media con prestación definida, a las entidades administradoras de pensiones del régimen de ahorro individual con solidaridad, a las Entidades Promotoras de Salud (EPS) o a las que hagan sus veces, a las entidades obligadas a compensar y a las demás entidades autorizadas para administrar el régimen contributivo del Sistema General de Seguridad Social en Salud (SGSSS), a las entidades Administradoras de Riesgos Laborales (ARL), a las Cajas de Compensación Familiar, al Servicio Nacional de Aprendizaje (SENA) y al Instituto Colombiano de Bienestar Familiar (ICBF).</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lastRenderedPageBreak/>
        <w:t xml:space="preserve">3. </w:t>
      </w:r>
      <w:r w:rsidRPr="001164EB">
        <w:rPr>
          <w:rFonts w:ascii="Segoe UI" w:eastAsia="Times New Roman" w:hAnsi="Segoe UI" w:cs="Segoe UI"/>
          <w:b/>
          <w:bCs/>
          <w:szCs w:val="24"/>
          <w:lang w:eastAsia="es-CO"/>
        </w:rPr>
        <w:t xml:space="preserve">Omisión en la afiliación: </w:t>
      </w:r>
      <w:r w:rsidRPr="001164EB">
        <w:rPr>
          <w:rFonts w:ascii="Segoe UI" w:eastAsia="Times New Roman" w:hAnsi="Segoe UI" w:cs="Segoe UI"/>
          <w:szCs w:val="24"/>
          <w:lang w:eastAsia="es-CO"/>
        </w:rPr>
        <w:t>Es el incumplimiento de la obligación de afiliar o afiliarse a alguno o algunos de los subsistemas que integran el Sistema de la Protección Social y como consecuencia de ello, no haber declarado ni pagado las respectivas contribuciones parafiscales, cuando surja la obligación conforme con las disposiciones legales vigentes.</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4. </w:t>
      </w:r>
      <w:r w:rsidRPr="001164EB">
        <w:rPr>
          <w:rFonts w:ascii="Segoe UI" w:eastAsia="Times New Roman" w:hAnsi="Segoe UI" w:cs="Segoe UI"/>
          <w:b/>
          <w:bCs/>
          <w:szCs w:val="24"/>
          <w:lang w:eastAsia="es-CO"/>
        </w:rPr>
        <w:t xml:space="preserve">Omisión en la vinculación: </w:t>
      </w:r>
      <w:r w:rsidRPr="001164EB">
        <w:rPr>
          <w:rFonts w:ascii="Segoe UI" w:eastAsia="Times New Roman" w:hAnsi="Segoe UI" w:cs="Segoe UI"/>
          <w:szCs w:val="24"/>
          <w:lang w:eastAsia="es-CO"/>
        </w:rPr>
        <w:t>Es el no reporte de la novedad de ingreso a una administradora del Sistema de la Protección Social cuando surja la obligación conforme con las disposiciones legales vigentes y como consecuencia de ello no se efectúa el pago de los aportes a su cargo a alguno o algunos de los subsistemas que integran el Sistema de la Protección Social.</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5. </w:t>
      </w:r>
      <w:r w:rsidRPr="001164EB">
        <w:rPr>
          <w:rFonts w:ascii="Segoe UI" w:eastAsia="Times New Roman" w:hAnsi="Segoe UI" w:cs="Segoe UI"/>
          <w:b/>
          <w:bCs/>
          <w:szCs w:val="24"/>
          <w:lang w:eastAsia="es-CO"/>
        </w:rPr>
        <w:t xml:space="preserve">Inexactitud: </w:t>
      </w:r>
      <w:r w:rsidRPr="001164EB">
        <w:rPr>
          <w:rFonts w:ascii="Segoe UI" w:eastAsia="Times New Roman" w:hAnsi="Segoe UI" w:cs="Segoe UI"/>
          <w:szCs w:val="24"/>
          <w:lang w:eastAsia="es-CO"/>
        </w:rPr>
        <w:t>Es cuando se presenta un menor valor declarado y pagado en la autoliquidación de aportes frente a los aportes que efectivamente el aportante estaba obligado a declarar y pagar, según lo ordenado por la ley.</w:t>
      </w:r>
    </w:p>
    <w:p w:rsidR="001164EB" w:rsidRDefault="001164EB" w:rsidP="001164EB">
      <w:pPr>
        <w:adjustRightInd w:val="0"/>
        <w:spacing w:line="240" w:lineRule="auto"/>
        <w:rPr>
          <w:rFonts w:ascii="Segoe UI" w:eastAsia="Times New Roman" w:hAnsi="Segoe UI" w:cs="Segoe UI"/>
          <w:szCs w:val="24"/>
          <w:lang w:eastAsia="es-CO"/>
        </w:rPr>
      </w:pP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6. </w:t>
      </w:r>
      <w:r w:rsidRPr="001164EB">
        <w:rPr>
          <w:rFonts w:ascii="Segoe UI" w:eastAsia="Times New Roman" w:hAnsi="Segoe UI" w:cs="Segoe UI"/>
          <w:b/>
          <w:bCs/>
          <w:szCs w:val="24"/>
          <w:lang w:eastAsia="es-CO"/>
        </w:rPr>
        <w:t xml:space="preserve">Mora: </w:t>
      </w:r>
      <w:r w:rsidRPr="001164EB">
        <w:rPr>
          <w:rFonts w:ascii="Segoe UI" w:eastAsia="Times New Roman" w:hAnsi="Segoe UI" w:cs="Segoe UI"/>
          <w:szCs w:val="24"/>
          <w:lang w:eastAsia="es-CO"/>
        </w:rPr>
        <w:t>Es el incumplimiento que se genera cuando existiendo afiliación no se genera la autoliquidación acompañada del respectivo pago de las Contribuciones Parafiscales de la Protección Social en los plazos establecidos en las disposiciones legales vigentes.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Artículo 2°. </w:t>
      </w:r>
      <w:r w:rsidRPr="001164EB">
        <w:rPr>
          <w:rFonts w:ascii="Segoe UI" w:eastAsia="Times New Roman" w:hAnsi="Segoe UI" w:cs="Segoe UI"/>
          <w:i/>
          <w:iCs/>
          <w:szCs w:val="24"/>
          <w:lang w:eastAsia="es-CO"/>
        </w:rPr>
        <w:t xml:space="preserve">Control a la adecuada, completa y oportuna liquidación y pago de las Contribuciones Parafiscales de la Protección Social por parte de la UGPP. </w:t>
      </w:r>
      <w:r w:rsidRPr="001164EB">
        <w:rPr>
          <w:rFonts w:ascii="Segoe UI" w:eastAsia="Times New Roman" w:hAnsi="Segoe UI" w:cs="Segoe UI"/>
          <w:szCs w:val="24"/>
          <w:lang w:eastAsia="es-CO"/>
        </w:rPr>
        <w:t>La Unidad Administrativa Especial de Gestión Pensional y Contribuciones Parafiscales de la Protección Social (UGPP) efectuará las labores de determinación y cobro de las contribuciones parafiscales de la protección social, en los casos de omisión, inexactitud y mora por acción preferente.</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Cuando la UGPP adelante un proceso de determinación de obligaciones parafiscales y detecte omisión, inexactitud y mora en el pago de los aportes al Sistema de la Protección Social, la Unidad asumirá la gestión integral de determinación y cobro de los valores adeudados al sistema.</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Parágrafo. </w:t>
      </w:r>
      <w:r w:rsidRPr="001164EB">
        <w:rPr>
          <w:rFonts w:ascii="Segoe UI" w:eastAsia="Times New Roman" w:hAnsi="Segoe UI" w:cs="Segoe UI"/>
          <w:szCs w:val="24"/>
          <w:lang w:eastAsia="es-CO"/>
        </w:rPr>
        <w:t>Los procesos de determinación y cobro en materia de inexactitud iniciados por el Servicio Nacional de Aprendizaje (SENA), el Instituto Colombiano de Bienestar Familiar (ICBF), y demás administradoras de naturaleza pública con anterioridad a la fecha de expedición de la Ley 1607 de 2012, deberán ser culminados por dichas entidades, sin perjuicio de las competencias que sobre esta materia ostenta la Unidad Administrativa Especial de Gestión Pensional y Contribuciones Parafiscales de la Protección Social (UGPP).</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Artículo 3°. </w:t>
      </w:r>
      <w:r w:rsidRPr="001164EB">
        <w:rPr>
          <w:rFonts w:ascii="Segoe UI" w:eastAsia="Times New Roman" w:hAnsi="Segoe UI" w:cs="Segoe UI"/>
          <w:i/>
          <w:iCs/>
          <w:szCs w:val="24"/>
          <w:lang w:eastAsia="es-CO"/>
        </w:rPr>
        <w:t xml:space="preserve">Control a la adecuada, completa y oportuna liquidación y pago de las Contribuciones Parafiscales de la Protección Social por parte de las administradoras. </w:t>
      </w:r>
      <w:r w:rsidRPr="001164EB">
        <w:rPr>
          <w:rFonts w:ascii="Segoe UI" w:eastAsia="Times New Roman" w:hAnsi="Segoe UI" w:cs="Segoe UI"/>
          <w:szCs w:val="24"/>
          <w:lang w:eastAsia="es-CO"/>
        </w:rPr>
        <w:t>Las entidades administradoras del Sistema de la Protección Social deberán verificar la exactitud y consistencia de la información contenida en las declaraciones de autoliquidación de aportes de las contribuciones que estas entidades administran, para lo cual solicitarán de los aportantes, afiliados o beneficiarios las explicaciones y correcciones sobre las inconsistencias detectadas.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lastRenderedPageBreak/>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Si realizadas estas acciones los aportantes no corrigen las inconsistencias detectadas, informarán de este hecho a la Unidad Administrativa Especial de Gestión Pensional y Contribuciones Parafiscales de la Protección Social (UGPP) para que conforme con sus competencias, políticas, estrategias y procedimientos adelante las acciones a que hubiere lugar.</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Artículo 4°. </w:t>
      </w:r>
      <w:r w:rsidRPr="001164EB">
        <w:rPr>
          <w:rFonts w:ascii="Segoe UI" w:eastAsia="Times New Roman" w:hAnsi="Segoe UI" w:cs="Segoe UI"/>
          <w:i/>
          <w:iCs/>
          <w:szCs w:val="24"/>
          <w:lang w:eastAsia="es-CO"/>
        </w:rPr>
        <w:t xml:space="preserve">Determinación del número de empleados para la aplicación de la sanción por omisión en la afiliación y/o vinculación. </w:t>
      </w:r>
      <w:r w:rsidRPr="001164EB">
        <w:rPr>
          <w:rFonts w:ascii="Segoe UI" w:eastAsia="Times New Roman" w:hAnsi="Segoe UI" w:cs="Segoe UI"/>
          <w:szCs w:val="24"/>
          <w:lang w:eastAsia="es-CO"/>
        </w:rPr>
        <w:t>Para efectos de la sanción prevista en el numeral 1 del artículo 179 de la Ley 1607 de 2012, entiéndase que el número de empleados que la Unidad Administrativa Especial de Gestión Pensional y Contribuciones Parafiscales de la Protección Social (UGPP) deberá tener en cuenta para la imposición de la sanción, será el número de trabajadores que estuvieren vinculados en el respectivo período mensual en que se configuró la falta, sean estos trabajadores permanentes u ocasionales, con independencia del tiempo laborado en el período correspondiente.</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Artículo 5°. </w:t>
      </w:r>
      <w:r w:rsidRPr="001164EB">
        <w:rPr>
          <w:rFonts w:ascii="Segoe UI" w:eastAsia="Times New Roman" w:hAnsi="Segoe UI" w:cs="Segoe UI"/>
          <w:i/>
          <w:iCs/>
          <w:szCs w:val="24"/>
          <w:lang w:eastAsia="es-CO"/>
        </w:rPr>
        <w:t xml:space="preserve">Del procedimiento para la liquidación y cobro por no suministro de información. </w:t>
      </w:r>
      <w:r w:rsidRPr="001164EB">
        <w:rPr>
          <w:rFonts w:ascii="Segoe UI" w:eastAsia="Times New Roman" w:hAnsi="Segoe UI" w:cs="Segoe UI"/>
          <w:szCs w:val="24"/>
          <w:lang w:eastAsia="es-CO"/>
        </w:rPr>
        <w:t>La sanción de cinco (5) UVT por cada día de retraso en la entrega de la información, prevista en el numeral 3 del artículo 179 de la Ley 1607 de 2012, se contabilizará desde el día siguiente a la finalización del término otorgado para dar respuesta al requerimiento de información o pruebas, hasta la fecha en que se entregue la información requerida por la Unidad Administrativa Especial de Gestión Pensional y Contribuciones Parafiscales de la Protección Social (UGPP).</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No obstante lo anterior, se harán liquidaciones parciales de esta sanción por períodos consecutivos no mayores a 180 días hasta la entrega de la información respectiva sin que el plazo total supere el término de caducidad aplicable a la Unidad, según lo dispuesto en el parágrafo 2° del artículo 178 de la Ley 1607 de 2012 o las normas que la modifiquen o la sustituyan.</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 xml:space="preserve">Artículo 6°. </w:t>
      </w:r>
      <w:r w:rsidRPr="001164EB">
        <w:rPr>
          <w:rFonts w:ascii="Segoe UI" w:eastAsia="Times New Roman" w:hAnsi="Segoe UI" w:cs="Segoe UI"/>
          <w:i/>
          <w:iCs/>
          <w:szCs w:val="24"/>
          <w:lang w:eastAsia="es-CO"/>
        </w:rPr>
        <w:t xml:space="preserve">Selección de la administradora en el caso de requerirse afiliación transitoria. </w:t>
      </w:r>
      <w:r w:rsidRPr="001164EB">
        <w:rPr>
          <w:rFonts w:ascii="Segoe UI" w:eastAsia="Times New Roman" w:hAnsi="Segoe UI" w:cs="Segoe UI"/>
          <w:szCs w:val="24"/>
          <w:lang w:eastAsia="es-CO"/>
        </w:rPr>
        <w:t>La afiliación transitoria es un mecanismo excepcional a cargo de la Unidad Administrativa Especial de Gestión Pensional y Contribuciones Parafiscales de la Protección Social (UGPP), en los casos de omisos que no se encuentran afiliados a alguno o algunos de los subsistemas de la protección social y no atiendan la invitación a afiliarse, haciendo uso del derecho de elección, dentro de los ocho (8) días siguientes al envío de dicha invitación.</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En tal evento, la UGPP procederá a efectuar la afiliación y presentará a nombre del aportante el formulario de afiliación a una administradora pública, que se entenderá efectiva en la fecha de recibo de la solicitud por parte de la administradora, quien deberá informar al afiliado tal condición dentro de los cinco (5) días </w:t>
      </w:r>
      <w:proofErr w:type="gramStart"/>
      <w:r w:rsidRPr="001164EB">
        <w:rPr>
          <w:rFonts w:ascii="Segoe UI" w:eastAsia="Times New Roman" w:hAnsi="Segoe UI" w:cs="Segoe UI"/>
          <w:szCs w:val="24"/>
          <w:lang w:eastAsia="es-CO"/>
        </w:rPr>
        <w:t>calendario siguientes</w:t>
      </w:r>
      <w:proofErr w:type="gramEnd"/>
      <w:r w:rsidRPr="001164EB">
        <w:rPr>
          <w:rFonts w:ascii="Segoe UI" w:eastAsia="Times New Roman" w:hAnsi="Segoe UI" w:cs="Segoe UI"/>
          <w:szCs w:val="24"/>
          <w:lang w:eastAsia="es-CO"/>
        </w:rPr>
        <w:t>.</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Parágrafo 1°.</w:t>
      </w:r>
      <w:r w:rsidRPr="001164EB">
        <w:rPr>
          <w:rFonts w:ascii="Segoe UI" w:eastAsia="Times New Roman" w:hAnsi="Segoe UI" w:cs="Segoe UI"/>
          <w:szCs w:val="24"/>
          <w:lang w:eastAsia="es-CO"/>
        </w:rPr>
        <w:t xml:space="preserve"> En caso de no existir una administradora pública, la afiliación transitoria deberá ser efectuada a una administradora con participación accionaria estatal así no sea mayoritaria y en su defecto, a una administradora de naturaleza privada seleccionada de acuerdo con los procedimientos que para tal efecto </w:t>
      </w:r>
      <w:r w:rsidRPr="001164EB">
        <w:rPr>
          <w:rFonts w:ascii="Segoe UI" w:eastAsia="Times New Roman" w:hAnsi="Segoe UI" w:cs="Segoe UI"/>
          <w:szCs w:val="24"/>
          <w:lang w:eastAsia="es-CO"/>
        </w:rPr>
        <w:lastRenderedPageBreak/>
        <w:t>establezca la UGPP mediante resolución, consultando los principios de transparencia, igualdad y eficiencia, que deberá ser publicada en la página web de la Unidad.</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Parágrafo 2°.</w:t>
      </w:r>
      <w:r w:rsidRPr="001164EB">
        <w:rPr>
          <w:rFonts w:ascii="Segoe UI" w:eastAsia="Times New Roman" w:hAnsi="Segoe UI" w:cs="Segoe UI"/>
          <w:szCs w:val="24"/>
          <w:lang w:eastAsia="es-CO"/>
        </w:rPr>
        <w:t xml:space="preserve"> Los afiliados transitorios podrán ejercer su derecho al traslado a otra administradora, una vez cumplan con el período mínimo de permanencia exigido por las disposiciones legales vigentes.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Artículo 7°.</w:t>
      </w:r>
      <w:r w:rsidRPr="001164EB">
        <w:rPr>
          <w:rFonts w:ascii="Segoe UI" w:eastAsia="Times New Roman" w:hAnsi="Segoe UI" w:cs="Segoe UI"/>
          <w:szCs w:val="24"/>
          <w:lang w:eastAsia="es-CO"/>
        </w:rPr>
        <w:t xml:space="preserve"> </w:t>
      </w:r>
      <w:r w:rsidRPr="001164EB">
        <w:rPr>
          <w:rFonts w:ascii="Segoe UI" w:eastAsia="Times New Roman" w:hAnsi="Segoe UI" w:cs="Segoe UI"/>
          <w:i/>
          <w:iCs/>
          <w:szCs w:val="24"/>
          <w:lang w:eastAsia="es-CO"/>
        </w:rPr>
        <w:t>Mecanismo de pago de las Contribuciones Parafiscales de la Protección Social</w:t>
      </w:r>
      <w:r w:rsidRPr="001164EB">
        <w:rPr>
          <w:rFonts w:ascii="Segoe UI" w:eastAsia="Times New Roman" w:hAnsi="Segoe UI" w:cs="Segoe UI"/>
          <w:szCs w:val="24"/>
          <w:lang w:eastAsia="es-CO"/>
        </w:rPr>
        <w:t xml:space="preserve">. El pago de los recursos correspondientes a las Contribuciones Parafiscales de la Protección Social y las sanciones correspondientes se realizará haciendo uso de la Planilla Integrada de Liquidación de Aportes (PILA). La entidad que tenga a su cargo la administración de la planilla, debe implementar los ajustes y cambios solicitados, a más tardar dentro de los treinta (30) días </w:t>
      </w:r>
      <w:proofErr w:type="gramStart"/>
      <w:r w:rsidRPr="001164EB">
        <w:rPr>
          <w:rFonts w:ascii="Segoe UI" w:eastAsia="Times New Roman" w:hAnsi="Segoe UI" w:cs="Segoe UI"/>
          <w:szCs w:val="24"/>
          <w:lang w:eastAsia="es-CO"/>
        </w:rPr>
        <w:t>calendario siguientes</w:t>
      </w:r>
      <w:proofErr w:type="gramEnd"/>
      <w:r w:rsidRPr="001164EB">
        <w:rPr>
          <w:rFonts w:ascii="Segoe UI" w:eastAsia="Times New Roman" w:hAnsi="Segoe UI" w:cs="Segoe UI"/>
          <w:szCs w:val="24"/>
          <w:lang w:eastAsia="es-CO"/>
        </w:rPr>
        <w:t xml:space="preserve"> a la fecha de radicación de la respectiva solicitud por parte de la UGPP.</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Artículo 8°.</w:t>
      </w:r>
      <w:r w:rsidRPr="001164EB">
        <w:rPr>
          <w:rFonts w:ascii="Segoe UI" w:eastAsia="Times New Roman" w:hAnsi="Segoe UI" w:cs="Segoe UI"/>
          <w:szCs w:val="24"/>
          <w:lang w:eastAsia="es-CO"/>
        </w:rPr>
        <w:t xml:space="preserve"> </w:t>
      </w:r>
      <w:r w:rsidRPr="001164EB">
        <w:rPr>
          <w:rFonts w:ascii="Segoe UI" w:eastAsia="Times New Roman" w:hAnsi="Segoe UI" w:cs="Segoe UI"/>
          <w:i/>
          <w:iCs/>
          <w:szCs w:val="24"/>
          <w:lang w:eastAsia="es-CO"/>
        </w:rPr>
        <w:t xml:space="preserve">Destinación de los recursos de las Contribuciones Parafiscales de la Protección Social correspondientes a períodos de omisión. </w:t>
      </w:r>
      <w:r w:rsidRPr="001164EB">
        <w:rPr>
          <w:rFonts w:ascii="Segoe UI" w:eastAsia="Times New Roman" w:hAnsi="Segoe UI" w:cs="Segoe UI"/>
          <w:szCs w:val="24"/>
          <w:lang w:eastAsia="es-CO"/>
        </w:rPr>
        <w:t>Los recursos del Sistema de la Protección Social, recuperados a través de las acciones adelantadas por la Unidad Administrativa Especial de Gestión Pensional y Contribuciones Parafiscales de la Protección Social (UGPP) en los procesos de determinación y cobro a omisos del Sistema, sobre períodos de omisión en la afiliación, tendrán la siguiente destinación:</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a) Los recursos del Sistema General de Seguridad Social en Salud, al Fondo de Solidaridad y Garantía (</w:t>
      </w:r>
      <w:proofErr w:type="spellStart"/>
      <w:r w:rsidRPr="001164EB">
        <w:rPr>
          <w:rFonts w:ascii="Segoe UI" w:eastAsia="Times New Roman" w:hAnsi="Segoe UI" w:cs="Segoe UI"/>
          <w:szCs w:val="24"/>
          <w:lang w:eastAsia="es-CO"/>
        </w:rPr>
        <w:t>Fosyga</w:t>
      </w:r>
      <w:proofErr w:type="spellEnd"/>
      <w:r w:rsidRPr="001164EB">
        <w:rPr>
          <w:rFonts w:ascii="Segoe UI" w:eastAsia="Times New Roman" w:hAnsi="Segoe UI" w:cs="Segoe UI"/>
          <w:szCs w:val="24"/>
          <w:lang w:eastAsia="es-CO"/>
        </w:rPr>
        <w:t>), o la entidad que haga sus veces, quien efectuará las imputaciones correspondientes de conformidad con las disposiciones legales vigentes;</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xml:space="preserve">b) Los recursos del Sistema General de Seguridad Social en Pensiones, a la administradora </w:t>
      </w:r>
      <w:proofErr w:type="gramStart"/>
      <w:r w:rsidRPr="001164EB">
        <w:rPr>
          <w:rFonts w:ascii="Segoe UI" w:eastAsia="Times New Roman" w:hAnsi="Segoe UI" w:cs="Segoe UI"/>
          <w:szCs w:val="24"/>
          <w:lang w:eastAsia="es-CO"/>
        </w:rPr>
        <w:t>a</w:t>
      </w:r>
      <w:proofErr w:type="gramEnd"/>
      <w:r w:rsidRPr="001164EB">
        <w:rPr>
          <w:rFonts w:ascii="Segoe UI" w:eastAsia="Times New Roman" w:hAnsi="Segoe UI" w:cs="Segoe UI"/>
          <w:szCs w:val="24"/>
          <w:lang w:eastAsia="es-CO"/>
        </w:rPr>
        <w:t xml:space="preserve"> la cual quede afiliado el omiso, para que de conformidad con las disposiciones legales vigentes efectúe las respectivas imputaciones;</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c) Los recursos del Sistema General de Seguridad Social de Riesgos Laborales, al Fondo de Riesgos Laborales, administrado por el Ministerio de Trabajo;</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d) Los recursos con destino al Régimen de Subsidio Familiar, se girarán a la Caja a la cual se afilie el omiso, quien deberá efectuar las imputaciones, de conformidad con las disposiciones legales vigentes;</w:t>
      </w:r>
    </w:p>
    <w:p w:rsidR="001164EB" w:rsidRDefault="001164EB" w:rsidP="001164EB">
      <w:pPr>
        <w:adjustRightInd w:val="0"/>
        <w:spacing w:line="240" w:lineRule="auto"/>
        <w:rPr>
          <w:rFonts w:ascii="Segoe UI" w:eastAsia="Times New Roman" w:hAnsi="Segoe UI" w:cs="Segoe UI"/>
          <w:szCs w:val="24"/>
          <w:lang w:eastAsia="es-CO"/>
        </w:rPr>
      </w:pP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e) Los recursos que correspondan al SENA e ICBF, se girarán a cada una de estas entidades en las proporciones establecidas, de conformidad con las disposiciones legales vigentes.</w:t>
      </w:r>
    </w:p>
    <w:p w:rsidR="001164EB" w:rsidRPr="001164EB" w:rsidRDefault="001164EB" w:rsidP="001164EB">
      <w:pPr>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Artículo 9°.</w:t>
      </w:r>
      <w:r w:rsidRPr="001164EB">
        <w:rPr>
          <w:rFonts w:ascii="Segoe UI" w:eastAsia="Times New Roman" w:hAnsi="Segoe UI" w:cs="Segoe UI"/>
          <w:szCs w:val="24"/>
          <w:lang w:eastAsia="es-CO"/>
        </w:rPr>
        <w:t xml:space="preserve"> </w:t>
      </w:r>
      <w:r w:rsidRPr="001164EB">
        <w:rPr>
          <w:rFonts w:ascii="Segoe UI" w:eastAsia="Times New Roman" w:hAnsi="Segoe UI" w:cs="Segoe UI"/>
          <w:i/>
          <w:iCs/>
          <w:szCs w:val="24"/>
          <w:lang w:eastAsia="es-CO"/>
        </w:rPr>
        <w:t xml:space="preserve">Responsabilidad de los obligados aportantes por las contingencias prestacionales que se presenten como consecuencia de la evasión por omisión, inexactitud o mora. </w:t>
      </w:r>
      <w:r w:rsidRPr="001164EB">
        <w:rPr>
          <w:rFonts w:ascii="Segoe UI" w:eastAsia="Times New Roman" w:hAnsi="Segoe UI" w:cs="Segoe UI"/>
          <w:szCs w:val="24"/>
          <w:lang w:eastAsia="es-CO"/>
        </w:rPr>
        <w:t xml:space="preserve">Los pagos que realicen los obligados aportantes, con ocasión de las acciones de determinación y cobro, de las Contribuciones Parafiscales de la Protección Social que adelante la Unidad Administrativa Especial de Gestión </w:t>
      </w:r>
      <w:r w:rsidRPr="001164EB">
        <w:rPr>
          <w:rFonts w:ascii="Segoe UI" w:eastAsia="Times New Roman" w:hAnsi="Segoe UI" w:cs="Segoe UI"/>
          <w:szCs w:val="24"/>
          <w:lang w:eastAsia="es-CO"/>
        </w:rPr>
        <w:lastRenderedPageBreak/>
        <w:t>Pensional y Contribuciones Parafiscales de la Protección Social (UGPP) en ejercicio de sus funciones, no los exime de la responsabilidad por las contingencias prestacionales que se presenten como consecuencia de la evasión por omisión, inexactitud o mora, conforme las disposiciones legales vigentes.</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Artículo 10.</w:t>
      </w:r>
      <w:r w:rsidRPr="001164EB">
        <w:rPr>
          <w:rFonts w:ascii="Segoe UI" w:eastAsia="Times New Roman" w:hAnsi="Segoe UI" w:cs="Segoe UI"/>
          <w:szCs w:val="24"/>
          <w:lang w:eastAsia="es-CO"/>
        </w:rPr>
        <w:t xml:space="preserve"> </w:t>
      </w:r>
      <w:r w:rsidRPr="001164EB">
        <w:rPr>
          <w:rFonts w:ascii="Segoe UI" w:eastAsia="Times New Roman" w:hAnsi="Segoe UI" w:cs="Segoe UI"/>
          <w:i/>
          <w:iCs/>
          <w:szCs w:val="24"/>
          <w:lang w:eastAsia="es-CO"/>
        </w:rPr>
        <w:t xml:space="preserve">Vigencia y derogatorias. </w:t>
      </w:r>
      <w:r w:rsidRPr="001164EB">
        <w:rPr>
          <w:rFonts w:ascii="Segoe UI" w:eastAsia="Times New Roman" w:hAnsi="Segoe UI" w:cs="Segoe UI"/>
          <w:szCs w:val="24"/>
          <w:lang w:eastAsia="es-CO"/>
        </w:rPr>
        <w:t>El presente decreto rige a partir de su promulgación.</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 </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b/>
          <w:szCs w:val="24"/>
          <w:lang w:eastAsia="es-CO"/>
        </w:rPr>
        <w:t>Publíquese y cúmplase.</w:t>
      </w:r>
    </w:p>
    <w:p w:rsidR="001164EB" w:rsidRPr="001164EB" w:rsidRDefault="001164EB" w:rsidP="001164EB">
      <w:pPr>
        <w:adjustRightInd w:val="0"/>
        <w:spacing w:line="240" w:lineRule="auto"/>
        <w:rPr>
          <w:rFonts w:eastAsia="Times New Roman"/>
          <w:szCs w:val="24"/>
          <w:lang w:eastAsia="es-CO"/>
        </w:rPr>
      </w:pPr>
      <w:r w:rsidRPr="001164EB">
        <w:rPr>
          <w:rFonts w:ascii="Segoe UI" w:eastAsia="Times New Roman" w:hAnsi="Segoe UI" w:cs="Segoe UI"/>
          <w:szCs w:val="24"/>
          <w:lang w:eastAsia="es-CO"/>
        </w:rPr>
        <w:t>Dado en Bogotá, D. C., a 27 de diciembre de 2013.</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EB"/>
    <w:rsid w:val="001164E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2014-01-04T22:01:00Z</dcterms:created>
  <dcterms:modified xsi:type="dcterms:W3CDTF">2014-01-04T22:03:00Z</dcterms:modified>
</cp:coreProperties>
</file>